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BDA" w:rsidRDefault="00945BDA" w:rsidP="00945BDA">
      <w:pPr>
        <w:spacing w:after="0" w:line="240" w:lineRule="auto"/>
        <w:rPr>
          <w:rFonts w:ascii="Times New Roman" w:eastAsia="Times New Roman" w:hAnsi="Times New Roman" w:cs="Times New Roman"/>
          <w:b/>
          <w:bCs/>
          <w:color w:val="000000"/>
          <w:sz w:val="27"/>
          <w:szCs w:val="27"/>
          <w:lang w:eastAsia="ru-RU"/>
        </w:rPr>
      </w:pPr>
      <w:r>
        <w:rPr>
          <w:rFonts w:ascii="Times New Roman" w:eastAsia="Times New Roman" w:hAnsi="Times New Roman" w:cs="Times New Roman"/>
          <w:b/>
          <w:bCs/>
          <w:color w:val="000000"/>
          <w:sz w:val="27"/>
          <w:szCs w:val="27"/>
          <w:lang w:eastAsia="ru-RU"/>
        </w:rPr>
        <w:t>Практика 1</w:t>
      </w:r>
    </w:p>
    <w:p w:rsidR="00945BDA" w:rsidRDefault="00945BDA" w:rsidP="00945BDA">
      <w:pPr>
        <w:spacing w:after="0" w:line="240" w:lineRule="auto"/>
        <w:rPr>
          <w:rFonts w:ascii="Times New Roman" w:eastAsia="Times New Roman" w:hAnsi="Times New Roman" w:cs="Times New Roman"/>
          <w:b/>
          <w:bCs/>
          <w:color w:val="000000"/>
          <w:sz w:val="27"/>
          <w:szCs w:val="27"/>
          <w:lang w:eastAsia="ru-RU"/>
        </w:rPr>
      </w:pPr>
    </w:p>
    <w:p w:rsidR="00945BDA" w:rsidRDefault="00945BDA" w:rsidP="00945BDA">
      <w:pPr>
        <w:spacing w:after="0" w:line="240" w:lineRule="auto"/>
        <w:rPr>
          <w:rFonts w:ascii="Times New Roman" w:eastAsia="Times New Roman" w:hAnsi="Times New Roman" w:cs="Times New Roman"/>
          <w:b/>
          <w:bCs/>
          <w:color w:val="FF0000"/>
          <w:sz w:val="27"/>
          <w:szCs w:val="27"/>
          <w:lang w:eastAsia="ru-RU"/>
        </w:rPr>
      </w:pPr>
      <w:r w:rsidRPr="00945BDA">
        <w:rPr>
          <w:rFonts w:ascii="Times New Roman" w:eastAsia="Times New Roman" w:hAnsi="Times New Roman" w:cs="Times New Roman"/>
          <w:b/>
          <w:bCs/>
          <w:color w:val="FF0000"/>
          <w:sz w:val="27"/>
          <w:szCs w:val="27"/>
          <w:lang w:eastAsia="ru-RU"/>
        </w:rPr>
        <w:t>Для расчета принять любые исходные данные самостоятельно.</w:t>
      </w:r>
    </w:p>
    <w:p w:rsidR="00945BDA" w:rsidRDefault="00945BDA" w:rsidP="00945BDA">
      <w:pPr>
        <w:spacing w:after="0" w:line="240" w:lineRule="auto"/>
        <w:rPr>
          <w:rFonts w:ascii="Times New Roman" w:eastAsia="Times New Roman" w:hAnsi="Times New Roman" w:cs="Times New Roman"/>
          <w:b/>
          <w:bCs/>
          <w:color w:val="FF0000"/>
          <w:sz w:val="27"/>
          <w:szCs w:val="27"/>
          <w:lang w:eastAsia="ru-RU"/>
        </w:rPr>
      </w:pPr>
    </w:p>
    <w:p w:rsidR="00945BDA" w:rsidRPr="00945BDA" w:rsidRDefault="00945BDA" w:rsidP="00945BDA">
      <w:pPr>
        <w:spacing w:after="0" w:line="240" w:lineRule="auto"/>
        <w:rPr>
          <w:rFonts w:ascii="Times New Roman" w:eastAsia="Times New Roman" w:hAnsi="Times New Roman" w:cs="Times New Roman"/>
          <w:b/>
          <w:bCs/>
          <w:color w:val="FF0000"/>
          <w:sz w:val="27"/>
          <w:szCs w:val="27"/>
          <w:lang w:eastAsia="ru-RU"/>
        </w:rPr>
      </w:pPr>
      <w:bookmarkStart w:id="0" w:name="_GoBack"/>
      <w:bookmarkEnd w:id="0"/>
    </w:p>
    <w:p w:rsidR="00945BDA" w:rsidRPr="00945BDA" w:rsidRDefault="00945BDA" w:rsidP="00945BDA">
      <w:pPr>
        <w:spacing w:after="0" w:line="240" w:lineRule="auto"/>
        <w:rPr>
          <w:rFonts w:ascii="Times New Roman" w:eastAsia="Times New Roman" w:hAnsi="Times New Roman" w:cs="Times New Roman"/>
          <w:color w:val="000000"/>
          <w:sz w:val="27"/>
          <w:szCs w:val="27"/>
          <w:lang w:eastAsia="ru-RU"/>
        </w:rPr>
      </w:pPr>
      <w:r w:rsidRPr="00945BDA">
        <w:rPr>
          <w:rFonts w:ascii="Times New Roman" w:eastAsia="Times New Roman" w:hAnsi="Times New Roman" w:cs="Times New Roman"/>
          <w:b/>
          <w:bCs/>
          <w:color w:val="000000"/>
          <w:sz w:val="27"/>
          <w:szCs w:val="27"/>
          <w:lang w:eastAsia="ru-RU"/>
        </w:rPr>
        <w:t>Определение расчетного расхода воды во внутреннем водопроводе.</w:t>
      </w:r>
      <w:r w:rsidRPr="00945BDA">
        <w:rPr>
          <w:rFonts w:ascii="Times New Roman" w:eastAsia="Times New Roman" w:hAnsi="Times New Roman" w:cs="Times New Roman"/>
          <w:color w:val="000000"/>
          <w:sz w:val="27"/>
          <w:szCs w:val="27"/>
          <w:lang w:eastAsia="ru-RU"/>
        </w:rPr>
        <w:t> Сети внутренних водопроводов рассчитывают по максимальному секундному расходу воды в здании. Подача нормативного расхода воды к самому высокому и удаленному диктующему водоразборному устройству должна быть обеспечена с максимальным свободным напором.</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Максимальный секундный расход воды, л/с, в здании определяется по формуле</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noProof/>
          <w:color w:val="000000"/>
          <w:sz w:val="27"/>
          <w:szCs w:val="27"/>
          <w:lang w:eastAsia="ru-RU"/>
        </w:rPr>
        <w:drawing>
          <wp:inline distT="0" distB="0" distL="0" distR="0" wp14:anchorId="3BF85648" wp14:editId="4112CDB1">
            <wp:extent cx="1343025" cy="514350"/>
            <wp:effectExtent l="0" t="0" r="9525" b="0"/>
            <wp:docPr id="5" name="Рисунок 5" descr="https://auto-ally.ru/pars_docs/refs/5/4511/4511_html_6f0d7f7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uto-ally.ru/pars_docs/refs/5/4511/4511_html_6f0d7f7a.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43025" cy="514350"/>
                    </a:xfrm>
                    <a:prstGeom prst="rect">
                      <a:avLst/>
                    </a:prstGeom>
                    <a:noFill/>
                    <a:ln>
                      <a:noFill/>
                    </a:ln>
                  </pic:spPr>
                </pic:pic>
              </a:graphicData>
            </a:graphic>
          </wp:inline>
        </w:drawing>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 xml:space="preserve">Где </w:t>
      </w:r>
      <w:r w:rsidRPr="00945BDA">
        <w:rPr>
          <w:rFonts w:ascii="Times New Roman" w:eastAsia="Times New Roman" w:hAnsi="Times New Roman" w:cs="Times New Roman"/>
          <w:color w:val="000000"/>
          <w:sz w:val="27"/>
          <w:szCs w:val="27"/>
          <w:lang w:eastAsia="ru-RU"/>
        </w:rPr>
        <w:sym w:font="Symbol" w:char="F061"/>
      </w:r>
      <w:r w:rsidRPr="00945BDA">
        <w:rPr>
          <w:rFonts w:ascii="Times New Roman" w:eastAsia="Times New Roman" w:hAnsi="Times New Roman" w:cs="Times New Roman"/>
          <w:color w:val="000000"/>
          <w:sz w:val="27"/>
          <w:szCs w:val="27"/>
          <w:lang w:eastAsia="ru-RU"/>
        </w:rPr>
        <w:t>— коэффициент, зависящий от общего числа приборов и вероятности их действия;</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q</w:t>
      </w:r>
      <w:r w:rsidRPr="00945BDA">
        <w:rPr>
          <w:rFonts w:ascii="Times New Roman" w:eastAsia="Times New Roman" w:hAnsi="Times New Roman" w:cs="Times New Roman"/>
          <w:color w:val="000000"/>
          <w:sz w:val="27"/>
          <w:szCs w:val="27"/>
          <w:vertAlign w:val="subscript"/>
          <w:lang w:eastAsia="ru-RU"/>
        </w:rPr>
        <w:t>0 </w:t>
      </w:r>
      <w:r w:rsidRPr="00945BDA">
        <w:rPr>
          <w:rFonts w:ascii="Times New Roman" w:eastAsia="Times New Roman" w:hAnsi="Times New Roman" w:cs="Times New Roman"/>
          <w:color w:val="000000"/>
          <w:sz w:val="27"/>
          <w:szCs w:val="27"/>
          <w:lang w:eastAsia="ru-RU"/>
        </w:rPr>
        <w:t>— секундный расход воды одним при 6 (в общем случае для подачи холодной воды q</w:t>
      </w:r>
      <w:r w:rsidRPr="00945BDA">
        <w:rPr>
          <w:rFonts w:ascii="Times New Roman" w:eastAsia="Times New Roman" w:hAnsi="Times New Roman" w:cs="Times New Roman"/>
          <w:color w:val="000000"/>
          <w:sz w:val="27"/>
          <w:szCs w:val="27"/>
          <w:vertAlign w:val="subscript"/>
          <w:lang w:eastAsia="ru-RU"/>
        </w:rPr>
        <w:t>0 </w:t>
      </w:r>
      <w:r w:rsidRPr="00945BDA">
        <w:rPr>
          <w:rFonts w:ascii="Times New Roman" w:eastAsia="Times New Roman" w:hAnsi="Times New Roman" w:cs="Times New Roman"/>
          <w:color w:val="000000"/>
          <w:sz w:val="27"/>
          <w:szCs w:val="27"/>
          <w:lang w:eastAsia="ru-RU"/>
        </w:rPr>
        <w:t>принимают равным 0,2 л/с).</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Вероятность действия водоразборных устройств</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noProof/>
          <w:color w:val="000000"/>
          <w:sz w:val="27"/>
          <w:szCs w:val="27"/>
          <w:lang w:eastAsia="ru-RU"/>
        </w:rPr>
        <w:drawing>
          <wp:inline distT="0" distB="0" distL="0" distR="0" wp14:anchorId="0969C85C" wp14:editId="3A3828B8">
            <wp:extent cx="1352550" cy="609600"/>
            <wp:effectExtent l="0" t="0" r="0" b="0"/>
            <wp:docPr id="4" name="Рисунок 4" descr="https://auto-ally.ru/pars_docs/refs/5/4511/4511_html_614664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uto-ally.ru/pars_docs/refs/5/4511/4511_html_6146644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52550" cy="609600"/>
                    </a:xfrm>
                    <a:prstGeom prst="rect">
                      <a:avLst/>
                    </a:prstGeom>
                    <a:noFill/>
                    <a:ln>
                      <a:noFill/>
                    </a:ln>
                  </pic:spPr>
                </pic:pic>
              </a:graphicData>
            </a:graphic>
          </wp:inline>
        </w:drawing>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где q — норма расхода воды потребителем в час наибольшего водопотребления, л;</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U— число жителей в здании, которое определяют по региональному показателю санитарной нормы площади на одного человека, по числу квартир в здании и жилой площади квартиры;</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N - фактическое число жителей в здании.</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В зданиях с одинаковыми потребителями на расчетных участках принимают единую вероятность действия для всех водоразборных устройств.</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 xml:space="preserve">Гидравлический расчет внутреннего водопровода. С помощью гидравлического расчета внутреннего водопровода определяют экономически выгодные диаметры труб для пропуска расчетных расходов воды и потерь напора от диктующего водоразборного устройства в здании до места присоединения ввода. На расчетной аксонометрической схеме внутренней водопроводной сети выбирают самый удаленный от ввода (расчетный) стояк в направление от </w:t>
      </w:r>
      <w:r w:rsidRPr="00945BDA">
        <w:rPr>
          <w:rFonts w:ascii="Times New Roman" w:eastAsia="Times New Roman" w:hAnsi="Times New Roman" w:cs="Times New Roman"/>
          <w:color w:val="000000"/>
          <w:sz w:val="27"/>
          <w:szCs w:val="27"/>
          <w:lang w:eastAsia="ru-RU"/>
        </w:rPr>
        <w:lastRenderedPageBreak/>
        <w:t xml:space="preserve">диктующего устройства до места присоединения ввода к наружному водопроводу. Аксонометрическую схему разбивают на участки, в пределах которых не изменяется расход. На них устанавливают количество водоразборных устройств N. По расчетам определяют число жителей U в здании и вероятность действия водоразборных устройств Р. Для каждого участка находят произведение величин Р N, коэффициент </w:t>
      </w:r>
      <w:r w:rsidRPr="00945BDA">
        <w:rPr>
          <w:rFonts w:ascii="Times New Roman" w:eastAsia="Times New Roman" w:hAnsi="Times New Roman" w:cs="Times New Roman"/>
          <w:color w:val="000000"/>
          <w:sz w:val="27"/>
          <w:szCs w:val="27"/>
          <w:lang w:eastAsia="ru-RU"/>
        </w:rPr>
        <w:sym w:font="Symbol" w:char="F061"/>
      </w:r>
      <w:r w:rsidRPr="00945BDA">
        <w:rPr>
          <w:rFonts w:ascii="Times New Roman" w:eastAsia="Times New Roman" w:hAnsi="Times New Roman" w:cs="Times New Roman"/>
          <w:color w:val="000000"/>
          <w:sz w:val="27"/>
          <w:szCs w:val="27"/>
          <w:lang w:eastAsia="ru-RU"/>
        </w:rPr>
        <w:t>, секундный расход q ,л/с, и его длину. По таблицам СНиП 2.04.01-85 выбирают диаметр каждого расчетного участка при экономичных скоростях движения v= (0,9... 1,2) м/с и максимальной скорости З м/с. По диаметрам определяют потери на единицу длины. Для каждого расчетного участка вычисляют потери напора, м:</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noProof/>
          <w:color w:val="000000"/>
          <w:sz w:val="27"/>
          <w:szCs w:val="27"/>
          <w:lang w:eastAsia="ru-RU"/>
        </w:rPr>
        <w:drawing>
          <wp:inline distT="0" distB="0" distL="0" distR="0" wp14:anchorId="177EF6A2" wp14:editId="7CC86BE1">
            <wp:extent cx="1581150" cy="466725"/>
            <wp:effectExtent l="0" t="0" r="0" b="9525"/>
            <wp:docPr id="3" name="Рисунок 3" descr="https://auto-ally.ru/pars_docs/refs/5/4511/4511_html_669badc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uto-ally.ru/pars_docs/refs/5/4511/4511_html_669badc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81150" cy="466725"/>
                    </a:xfrm>
                    <a:prstGeom prst="rect">
                      <a:avLst/>
                    </a:prstGeom>
                    <a:noFill/>
                    <a:ln>
                      <a:noFill/>
                    </a:ln>
                  </pic:spPr>
                </pic:pic>
              </a:graphicData>
            </a:graphic>
          </wp:inline>
        </w:drawing>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Где i - удельные потери напора на трение (принимаются в зависимости от диаметра трубопровода. материала и расчетного расхода воды); L — длина расчетного участка сети, м;</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i/>
          <w:iCs/>
          <w:color w:val="000000"/>
          <w:sz w:val="27"/>
          <w:szCs w:val="27"/>
          <w:lang w:eastAsia="ru-RU"/>
        </w:rPr>
        <w:t>l </w:t>
      </w:r>
      <w:r w:rsidRPr="00945BDA">
        <w:rPr>
          <w:rFonts w:ascii="Times New Roman" w:eastAsia="Times New Roman" w:hAnsi="Times New Roman" w:cs="Times New Roman"/>
          <w:color w:val="000000"/>
          <w:sz w:val="27"/>
          <w:szCs w:val="27"/>
          <w:lang w:eastAsia="ru-RU"/>
        </w:rPr>
        <w:t>— коэффициент. учитывающий потери напора в зависимости от длины участка,</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К — коэффициент, учитывающий потери на местные сопротивление в соединениях труб и арматуре.</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Напор для подачи воды (требуемый напор) в наиболее удаленную высокорасположенную точку определяют как сумму, м:</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noProof/>
          <w:color w:val="000000"/>
          <w:sz w:val="27"/>
          <w:szCs w:val="27"/>
          <w:lang w:eastAsia="ru-RU"/>
        </w:rPr>
        <w:drawing>
          <wp:inline distT="0" distB="0" distL="0" distR="0" wp14:anchorId="2FDF9E6F" wp14:editId="30CDE05E">
            <wp:extent cx="2343150" cy="609600"/>
            <wp:effectExtent l="0" t="0" r="0" b="0"/>
            <wp:docPr id="2" name="Рисунок 2" descr="https://auto-ally.ru/pars_docs/refs/5/4511/4511_html_2fb305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uto-ally.ru/pars_docs/refs/5/4511/4511_html_2fb305c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43150" cy="609600"/>
                    </a:xfrm>
                    <a:prstGeom prst="rect">
                      <a:avLst/>
                    </a:prstGeom>
                    <a:noFill/>
                    <a:ln>
                      <a:noFill/>
                    </a:ln>
                  </pic:spPr>
                </pic:pic>
              </a:graphicData>
            </a:graphic>
          </wp:inline>
        </w:drawing>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 xml:space="preserve">Где </w:t>
      </w:r>
      <w:proofErr w:type="spellStart"/>
      <w:r w:rsidRPr="00945BDA">
        <w:rPr>
          <w:rFonts w:ascii="Times New Roman" w:eastAsia="Times New Roman" w:hAnsi="Times New Roman" w:cs="Times New Roman"/>
          <w:color w:val="000000"/>
          <w:sz w:val="27"/>
          <w:szCs w:val="27"/>
          <w:lang w:eastAsia="ru-RU"/>
        </w:rPr>
        <w:t>Н</w:t>
      </w:r>
      <w:r w:rsidRPr="00945BDA">
        <w:rPr>
          <w:rFonts w:ascii="Times New Roman" w:eastAsia="Times New Roman" w:hAnsi="Times New Roman" w:cs="Times New Roman"/>
          <w:color w:val="000000"/>
          <w:sz w:val="27"/>
          <w:szCs w:val="27"/>
          <w:vertAlign w:val="subscript"/>
          <w:lang w:eastAsia="ru-RU"/>
        </w:rPr>
        <w:t>геом</w:t>
      </w:r>
      <w:proofErr w:type="spellEnd"/>
      <w:r w:rsidRPr="00945BDA">
        <w:rPr>
          <w:rFonts w:ascii="Times New Roman" w:eastAsia="Times New Roman" w:hAnsi="Times New Roman" w:cs="Times New Roman"/>
          <w:color w:val="000000"/>
          <w:sz w:val="27"/>
          <w:szCs w:val="27"/>
          <w:vertAlign w:val="subscript"/>
          <w:lang w:eastAsia="ru-RU"/>
        </w:rPr>
        <w:t> </w:t>
      </w:r>
      <w:r w:rsidRPr="00945BDA">
        <w:rPr>
          <w:rFonts w:ascii="Times New Roman" w:eastAsia="Times New Roman" w:hAnsi="Times New Roman" w:cs="Times New Roman"/>
          <w:color w:val="000000"/>
          <w:sz w:val="27"/>
          <w:szCs w:val="27"/>
          <w:lang w:eastAsia="ru-RU"/>
        </w:rPr>
        <w:t>— геометрическая высота подъема воды;</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r>
      <w:proofErr w:type="spellStart"/>
      <w:r w:rsidRPr="00945BDA">
        <w:rPr>
          <w:rFonts w:ascii="Times New Roman" w:eastAsia="Times New Roman" w:hAnsi="Times New Roman" w:cs="Times New Roman"/>
          <w:color w:val="000000"/>
          <w:sz w:val="27"/>
          <w:szCs w:val="27"/>
          <w:lang w:eastAsia="ru-RU"/>
        </w:rPr>
        <w:t>Н</w:t>
      </w:r>
      <w:r w:rsidRPr="00945BDA">
        <w:rPr>
          <w:rFonts w:ascii="Times New Roman" w:eastAsia="Times New Roman" w:hAnsi="Times New Roman" w:cs="Times New Roman"/>
          <w:color w:val="000000"/>
          <w:sz w:val="27"/>
          <w:szCs w:val="27"/>
          <w:vertAlign w:val="subscript"/>
          <w:lang w:eastAsia="ru-RU"/>
        </w:rPr>
        <w:t>пот</w:t>
      </w:r>
      <w:proofErr w:type="spellEnd"/>
      <w:r w:rsidRPr="00945BDA">
        <w:rPr>
          <w:rFonts w:ascii="Times New Roman" w:eastAsia="Times New Roman" w:hAnsi="Times New Roman" w:cs="Times New Roman"/>
          <w:color w:val="000000"/>
          <w:sz w:val="27"/>
          <w:szCs w:val="27"/>
          <w:lang w:eastAsia="ru-RU"/>
        </w:rPr>
        <w:t> — сумма потерь напора в трубопроводе;</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r>
      <w:proofErr w:type="spellStart"/>
      <w:r w:rsidRPr="00945BDA">
        <w:rPr>
          <w:rFonts w:ascii="Times New Roman" w:eastAsia="Times New Roman" w:hAnsi="Times New Roman" w:cs="Times New Roman"/>
          <w:color w:val="000000"/>
          <w:sz w:val="27"/>
          <w:szCs w:val="27"/>
          <w:lang w:eastAsia="ru-RU"/>
        </w:rPr>
        <w:t>Н</w:t>
      </w:r>
      <w:r w:rsidRPr="00945BDA">
        <w:rPr>
          <w:rFonts w:ascii="Times New Roman" w:eastAsia="Times New Roman" w:hAnsi="Times New Roman" w:cs="Times New Roman"/>
          <w:color w:val="000000"/>
          <w:sz w:val="27"/>
          <w:szCs w:val="27"/>
          <w:vertAlign w:val="subscript"/>
          <w:lang w:eastAsia="ru-RU"/>
        </w:rPr>
        <w:t>f</w:t>
      </w:r>
      <w:proofErr w:type="spellEnd"/>
      <w:r w:rsidRPr="00945BDA">
        <w:rPr>
          <w:rFonts w:ascii="Times New Roman" w:eastAsia="Times New Roman" w:hAnsi="Times New Roman" w:cs="Times New Roman"/>
          <w:color w:val="000000"/>
          <w:sz w:val="27"/>
          <w:szCs w:val="27"/>
          <w:lang w:eastAsia="ru-RU"/>
        </w:rPr>
        <w:t> свободный напор на излив.</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Потери напора для всего здания определяют как сумму потерь напора от диктующего водоразборного устройства до ввода. Потери на вводе определяют как потери на участке от водомерного узла до места присоединения ввода к наружному водопроводу.</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 xml:space="preserve">Геометрическая высота подачи воды в здание равна расстоянию по вертикали от уровня земли над местом присоединен ввода к наружному водопроводу до уровня </w:t>
      </w:r>
      <w:proofErr w:type="spellStart"/>
      <w:r w:rsidRPr="00945BDA">
        <w:rPr>
          <w:rFonts w:ascii="Times New Roman" w:eastAsia="Times New Roman" w:hAnsi="Times New Roman" w:cs="Times New Roman"/>
          <w:color w:val="000000"/>
          <w:sz w:val="27"/>
          <w:szCs w:val="27"/>
          <w:lang w:eastAsia="ru-RU"/>
        </w:rPr>
        <w:t>изливного</w:t>
      </w:r>
      <w:proofErr w:type="spellEnd"/>
      <w:r w:rsidRPr="00945BDA">
        <w:rPr>
          <w:rFonts w:ascii="Times New Roman" w:eastAsia="Times New Roman" w:hAnsi="Times New Roman" w:cs="Times New Roman"/>
          <w:color w:val="000000"/>
          <w:sz w:val="27"/>
          <w:szCs w:val="27"/>
          <w:lang w:eastAsia="ru-RU"/>
        </w:rPr>
        <w:t xml:space="preserve"> отверстия диктующего водоразборного устройства. Ориентировочно требуемый напор, м, определяют по формуле</w:t>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lastRenderedPageBreak/>
        <w:br/>
      </w:r>
      <w:r w:rsidRPr="00945BDA">
        <w:rPr>
          <w:rFonts w:ascii="Times New Roman" w:eastAsia="Times New Roman" w:hAnsi="Times New Roman" w:cs="Times New Roman"/>
          <w:noProof/>
          <w:color w:val="000000"/>
          <w:sz w:val="27"/>
          <w:szCs w:val="27"/>
          <w:lang w:eastAsia="ru-RU"/>
        </w:rPr>
        <w:drawing>
          <wp:inline distT="0" distB="0" distL="0" distR="0" wp14:anchorId="65253A08" wp14:editId="60303479">
            <wp:extent cx="1685925" cy="457200"/>
            <wp:effectExtent l="0" t="0" r="9525" b="0"/>
            <wp:docPr id="1" name="Рисунок 1" descr="https://auto-ally.ru/pars_docs/refs/5/4511/4511_html_m240aa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uto-ally.ru/pars_docs/refs/5/4511/4511_html_m240aa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5925" cy="457200"/>
                    </a:xfrm>
                    <a:prstGeom prst="rect">
                      <a:avLst/>
                    </a:prstGeom>
                    <a:noFill/>
                    <a:ln>
                      <a:noFill/>
                    </a:ln>
                  </pic:spPr>
                </pic:pic>
              </a:graphicData>
            </a:graphic>
          </wp:inline>
        </w:drawing>
      </w:r>
      <w:r w:rsidRPr="00945BDA">
        <w:rPr>
          <w:rFonts w:ascii="Times New Roman" w:eastAsia="Times New Roman" w:hAnsi="Times New Roman" w:cs="Times New Roman"/>
          <w:color w:val="000000"/>
          <w:sz w:val="27"/>
          <w:szCs w:val="27"/>
          <w:lang w:eastAsia="ru-RU"/>
        </w:rPr>
        <w:br/>
      </w:r>
      <w:r w:rsidRPr="00945BDA">
        <w:rPr>
          <w:rFonts w:ascii="Times New Roman" w:eastAsia="Times New Roman" w:hAnsi="Times New Roman" w:cs="Times New Roman"/>
          <w:color w:val="000000"/>
          <w:sz w:val="27"/>
          <w:szCs w:val="27"/>
          <w:lang w:eastAsia="ru-RU"/>
        </w:rPr>
        <w:br/>
        <w:t>где 10 — свободный напор для одноэтажной застройки; n — число этажей в доме.</w:t>
      </w:r>
    </w:p>
    <w:p w:rsidR="00F07B99" w:rsidRDefault="00945BDA"/>
    <w:sectPr w:rsidR="00F07B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2EC"/>
    <w:rsid w:val="00945BDA"/>
    <w:rsid w:val="009652EC"/>
    <w:rsid w:val="00C32848"/>
    <w:rsid w:val="00C62E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03ACB"/>
  <w15:chartTrackingRefBased/>
  <w15:docId w15:val="{9CCADFCD-066E-45C8-8814-2A7020513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ubmenu-table">
    <w:name w:val="submenu-table"/>
    <w:basedOn w:val="a0"/>
    <w:rsid w:val="00945B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206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510</Words>
  <Characters>2908</Characters>
  <Application>Microsoft Office Word</Application>
  <DocSecurity>0</DocSecurity>
  <Lines>24</Lines>
  <Paragraphs>6</Paragraphs>
  <ScaleCrop>false</ScaleCrop>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2</cp:revision>
  <dcterms:created xsi:type="dcterms:W3CDTF">2022-09-24T05:22:00Z</dcterms:created>
  <dcterms:modified xsi:type="dcterms:W3CDTF">2022-09-24T05:24:00Z</dcterms:modified>
</cp:coreProperties>
</file>